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8E92" w14:textId="77777777" w:rsidR="00BF70EA" w:rsidRDefault="00BF70EA" w:rsidP="00BF70EA"/>
    <w:p w14:paraId="26D63C59" w14:textId="69A166DB" w:rsidR="00BF70EA" w:rsidRDefault="00BF70EA" w:rsidP="00BF70EA">
      <w:pPr>
        <w:jc w:val="right"/>
      </w:pPr>
      <w:r>
        <w:t xml:space="preserve">Vught, </w:t>
      </w:r>
      <w:r w:rsidR="000F59BF">
        <w:t>5</w:t>
      </w:r>
      <w:r>
        <w:t>-</w:t>
      </w:r>
      <w:r w:rsidR="00C656A1">
        <w:t>5-</w:t>
      </w:r>
      <w:r>
        <w:t>202</w:t>
      </w:r>
      <w:r w:rsidR="00C656A1">
        <w:t>6</w:t>
      </w:r>
    </w:p>
    <w:p w14:paraId="03D5FCD9" w14:textId="77777777" w:rsidR="00BF70EA" w:rsidRDefault="00BF70EA" w:rsidP="00BF70EA">
      <w:pPr>
        <w:jc w:val="right"/>
      </w:pPr>
    </w:p>
    <w:p w14:paraId="4351D47E" w14:textId="77777777" w:rsidR="00BF70EA" w:rsidRDefault="00BF70EA" w:rsidP="00BF70EA">
      <w:r>
        <w:t>Waarde Heren Provisoren,</w:t>
      </w:r>
    </w:p>
    <w:p w14:paraId="6FFEAE63" w14:textId="2777B4BD" w:rsidR="00BF70EA" w:rsidRDefault="00BF70EA" w:rsidP="0022393F">
      <w:r>
        <w:t>In het kader van de jaarlijkse verplichting bijgaand de verantwoording en verslag over dienstjaar 20</w:t>
      </w:r>
      <w:r w:rsidR="00C656A1">
        <w:t>25</w:t>
      </w:r>
      <w:r>
        <w:t xml:space="preserve"> voor Stichting Het Pand.</w:t>
      </w:r>
    </w:p>
    <w:p w14:paraId="3E1F43D9" w14:textId="4649F2A4" w:rsidR="0022393F" w:rsidRDefault="0022393F" w:rsidP="0022393F">
      <w:r>
        <w:t>In</w:t>
      </w:r>
      <w:r w:rsidR="00FB5BD8">
        <w:t xml:space="preserve"> navolging van het bezoek van de Gemeente in november 2024 is door hen een rapport opgesteld met aanbevelingen en verplichtingen</w:t>
      </w:r>
      <w:r w:rsidR="00A602B1">
        <w:t>, zie hieronder</w:t>
      </w:r>
      <w:r w:rsidR="00C61D7B">
        <w:t xml:space="preserve"> in blauw</w:t>
      </w:r>
      <w:r w:rsidR="00FB5BD8">
        <w:t>:</w:t>
      </w:r>
    </w:p>
    <w:p w14:paraId="69B11908" w14:textId="77777777" w:rsidR="00A602B1" w:rsidRPr="00A602B1" w:rsidRDefault="00A602B1" w:rsidP="00A602B1">
      <w:pPr>
        <w:rPr>
          <w:color w:val="0070C0"/>
        </w:rPr>
      </w:pPr>
      <w:r w:rsidRPr="00A602B1">
        <w:rPr>
          <w:color w:val="0070C0"/>
        </w:rPr>
        <w:t>Aanbevolen wordt om:</w:t>
      </w:r>
    </w:p>
    <w:p w14:paraId="4A1A48EF" w14:textId="77777777" w:rsidR="00A602B1" w:rsidRPr="00A602B1" w:rsidRDefault="00A602B1" w:rsidP="00A602B1">
      <w:pPr>
        <w:numPr>
          <w:ilvl w:val="0"/>
          <w:numId w:val="1"/>
        </w:numPr>
        <w:rPr>
          <w:color w:val="0070C0"/>
        </w:rPr>
      </w:pPr>
      <w:r w:rsidRPr="00A602B1">
        <w:rPr>
          <w:color w:val="0070C0"/>
        </w:rPr>
        <w:t>De gordingen in de kapconstructie, waarvan de verbindingen niet meer optimaal zijn, te herstellen/verstevigen (zie bijlage 01);</w:t>
      </w:r>
    </w:p>
    <w:p w14:paraId="6D6CCA6B" w14:textId="77777777" w:rsidR="00A602B1" w:rsidRPr="00A602B1" w:rsidRDefault="00A602B1" w:rsidP="00A602B1">
      <w:pPr>
        <w:numPr>
          <w:ilvl w:val="0"/>
          <w:numId w:val="1"/>
        </w:numPr>
        <w:rPr>
          <w:color w:val="0070C0"/>
        </w:rPr>
      </w:pPr>
      <w:r w:rsidRPr="00A602B1">
        <w:rPr>
          <w:color w:val="0070C0"/>
        </w:rPr>
        <w:t>De verbindingen van de gevelankers, die verbonden zijn aan de gordingen in de kapconstructie, te herstellen/verstevigen (zie bijlage 02);</w:t>
      </w:r>
    </w:p>
    <w:p w14:paraId="019E63A9" w14:textId="77777777" w:rsidR="00A602B1" w:rsidRPr="00A602B1" w:rsidRDefault="00A602B1" w:rsidP="00A602B1">
      <w:pPr>
        <w:numPr>
          <w:ilvl w:val="0"/>
          <w:numId w:val="1"/>
        </w:numPr>
        <w:rPr>
          <w:color w:val="0070C0"/>
        </w:rPr>
      </w:pPr>
    </w:p>
    <w:p w14:paraId="3461F661" w14:textId="77777777" w:rsidR="00A602B1" w:rsidRPr="00A602B1" w:rsidRDefault="00A602B1" w:rsidP="00A602B1">
      <w:pPr>
        <w:rPr>
          <w:color w:val="0070C0"/>
        </w:rPr>
      </w:pPr>
      <w:r w:rsidRPr="00A602B1">
        <w:rPr>
          <w:color w:val="0070C0"/>
        </w:rPr>
        <w:t>Verplicht wordt om:</w:t>
      </w:r>
    </w:p>
    <w:p w14:paraId="2D35B29E" w14:textId="77777777" w:rsidR="00A602B1" w:rsidRPr="00A602B1" w:rsidRDefault="00A602B1" w:rsidP="00A602B1">
      <w:pPr>
        <w:numPr>
          <w:ilvl w:val="0"/>
          <w:numId w:val="2"/>
        </w:numPr>
        <w:rPr>
          <w:color w:val="0070C0"/>
        </w:rPr>
      </w:pPr>
      <w:r w:rsidRPr="00A602B1">
        <w:rPr>
          <w:color w:val="0070C0"/>
        </w:rPr>
        <w:t>Het terug ophangen van de verwijderde rookmelder in de kapconstructie (zie bijlage 03). Het is aan te bevelen om gebruik te maken van een slimme rookmelder die een melding op je telefoon geeft bij alarm, omdat er namelijk niet standaard iemand aanwezig is.</w:t>
      </w:r>
    </w:p>
    <w:p w14:paraId="00123267" w14:textId="77777777" w:rsidR="00A602B1" w:rsidRPr="00A602B1" w:rsidRDefault="00A602B1" w:rsidP="00A602B1">
      <w:pPr>
        <w:rPr>
          <w:color w:val="0070C0"/>
        </w:rPr>
      </w:pPr>
    </w:p>
    <w:p w14:paraId="552450D4" w14:textId="77777777" w:rsidR="00A602B1" w:rsidRPr="00A602B1" w:rsidRDefault="00A602B1" w:rsidP="00A602B1">
      <w:pPr>
        <w:rPr>
          <w:color w:val="0070C0"/>
        </w:rPr>
      </w:pPr>
      <w:r w:rsidRPr="00A602B1">
        <w:rPr>
          <w:color w:val="0070C0"/>
        </w:rPr>
        <w:t>Daarnaast wordt verwacht dat Goudstikker en de Vries nog een laatste conclusie t.a.v. de eerder opgestelde constructieve rapportage opstelt. Zo is in het rapport nog te lezen dat er nog een tweede inspectie dient plaats te vinden t.a.v. de scheurvorming (zie onderstaand knipsel):</w:t>
      </w:r>
    </w:p>
    <w:p w14:paraId="6D3DA813" w14:textId="418175DA" w:rsidR="00A602B1" w:rsidRPr="00A602B1" w:rsidRDefault="00A602B1" w:rsidP="00A602B1">
      <w:pPr>
        <w:rPr>
          <w:color w:val="0070C0"/>
        </w:rPr>
      </w:pPr>
      <w:r w:rsidRPr="00A602B1">
        <w:rPr>
          <w:noProof/>
          <w:color w:val="0070C0"/>
        </w:rPr>
        <w:drawing>
          <wp:inline distT="0" distB="0" distL="0" distR="0" wp14:anchorId="4A5994DF" wp14:editId="497FA8F4">
            <wp:extent cx="5760720" cy="2211070"/>
            <wp:effectExtent l="0" t="0" r="0" b="0"/>
            <wp:docPr id="17732016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7165C29B" w14:textId="77777777" w:rsidR="00A602B1" w:rsidRPr="00A602B1" w:rsidRDefault="00A602B1" w:rsidP="00A602B1">
      <w:pPr>
        <w:rPr>
          <w:color w:val="0070C0"/>
        </w:rPr>
      </w:pPr>
    </w:p>
    <w:p w14:paraId="67E7AF1D" w14:textId="77777777" w:rsidR="00A602B1" w:rsidRPr="00A602B1" w:rsidRDefault="00A602B1" w:rsidP="00A602B1">
      <w:pPr>
        <w:rPr>
          <w:color w:val="0070C0"/>
        </w:rPr>
      </w:pPr>
      <w:r w:rsidRPr="00A602B1">
        <w:rPr>
          <w:color w:val="0070C0"/>
        </w:rPr>
        <w:t>We hebben ter plaatse kunnen constateren dat de geplaatste scheurmeters (pleisterwerk) n.a.v. de eerdere controle geen zettingen meer weergeven. Graag ontvangen we van Goudstikker en de Vries nog de bevestiging op hun eerdere rapportage dat de stabiliteit van het pand in orde is.</w:t>
      </w:r>
    </w:p>
    <w:p w14:paraId="3E35E0A6" w14:textId="77777777" w:rsidR="00A602B1" w:rsidRPr="00A602B1" w:rsidRDefault="00A602B1" w:rsidP="00A602B1">
      <w:pPr>
        <w:rPr>
          <w:color w:val="0070C0"/>
        </w:rPr>
      </w:pPr>
    </w:p>
    <w:p w14:paraId="33F81679" w14:textId="77777777" w:rsidR="00A602B1" w:rsidRPr="00A602B1" w:rsidRDefault="00A602B1" w:rsidP="00A602B1">
      <w:pPr>
        <w:rPr>
          <w:color w:val="0070C0"/>
        </w:rPr>
      </w:pPr>
      <w:r w:rsidRPr="00A602B1">
        <w:rPr>
          <w:color w:val="0070C0"/>
        </w:rPr>
        <w:t>Dit kan middels een aanvulling op de rapportage of middels een begeleidend schrijven per e-mail.</w:t>
      </w:r>
    </w:p>
    <w:p w14:paraId="6E0F2048" w14:textId="77777777" w:rsidR="00A602B1" w:rsidRDefault="00A602B1" w:rsidP="00A602B1">
      <w:pPr>
        <w:rPr>
          <w:color w:val="0070C0"/>
        </w:rPr>
      </w:pPr>
      <w:r w:rsidRPr="00A602B1">
        <w:rPr>
          <w:color w:val="0070C0"/>
        </w:rPr>
        <w:t>Daarnaast is ter plaatse geen visueel gevaar geconstateerd t.a.v. houtworm. De aanbeveling zoals eerder in de rapportage genoemd blijft wel van kracht om dit toch nog een keer nader te laten controleren door een specialist.</w:t>
      </w:r>
    </w:p>
    <w:p w14:paraId="3AD0B078" w14:textId="7B9E3F9D" w:rsidR="00BA16C1" w:rsidRDefault="00BA16C1" w:rsidP="00A602B1">
      <w:r>
        <w:t xml:space="preserve">In februari </w:t>
      </w:r>
      <w:r w:rsidR="00096018">
        <w:t xml:space="preserve">2025 </w:t>
      </w:r>
      <w:r w:rsidR="004D55E4">
        <w:t xml:space="preserve">heeft Provisor Van Meeuwen sr met Monumentenwacht en aannemer Goudstikker een ronde door het Pand gemaakt en opdracht gegeven bovenstaande </w:t>
      </w:r>
      <w:r w:rsidR="00096018">
        <w:t>aanbevelingen en verplichtingen uit te voeren.</w:t>
      </w:r>
      <w:r w:rsidR="00E77C58">
        <w:t xml:space="preserve"> Op 14 mei 2025 waren alle punten </w:t>
      </w:r>
      <w:r w:rsidR="00B910BF">
        <w:t>uitgevoerd</w:t>
      </w:r>
      <w:r w:rsidR="00C61D7B">
        <w:t xml:space="preserve"> door VIP Totaalbouw</w:t>
      </w:r>
      <w:r w:rsidR="00B910BF">
        <w:t xml:space="preserve"> en is dat ook aan de Gemeente gecommuniceerd</w:t>
      </w:r>
      <w:r w:rsidR="00EC66BA">
        <w:t xml:space="preserve"> en door hen </w:t>
      </w:r>
      <w:r w:rsidR="005B157B">
        <w:t>geaccordeerd</w:t>
      </w:r>
      <w:r w:rsidR="00B910BF">
        <w:t>.</w:t>
      </w:r>
    </w:p>
    <w:p w14:paraId="72DE29AE" w14:textId="1BD7716D" w:rsidR="00EB6AFD" w:rsidRDefault="00EB6AFD" w:rsidP="00A602B1">
      <w:r>
        <w:t xml:space="preserve">Per einde jaar </w:t>
      </w:r>
      <w:r w:rsidR="00C61D7B">
        <w:t xml:space="preserve">2025 </w:t>
      </w:r>
      <w:r>
        <w:t xml:space="preserve">is </w:t>
      </w:r>
      <w:r w:rsidR="00AB72C6">
        <w:t xml:space="preserve">aan </w:t>
      </w:r>
      <w:r>
        <w:t>de huurders een huurverhoging van 4,4% gecommuniceerd</w:t>
      </w:r>
      <w:r w:rsidR="001A3EFB">
        <w:t>.</w:t>
      </w:r>
    </w:p>
    <w:p w14:paraId="4636EC18" w14:textId="4875A83A" w:rsidR="001A3EFB" w:rsidRDefault="001A3EFB" w:rsidP="00A602B1">
      <w:r>
        <w:t xml:space="preserve">Huurder van der Heyden </w:t>
      </w:r>
      <w:r w:rsidR="00AB72C6">
        <w:t xml:space="preserve">heeft per einde 2025 de huur opgezegd van </w:t>
      </w:r>
      <w:r w:rsidR="00464313">
        <w:t>atelier 29. Deze staat per januari 2026 leeg.</w:t>
      </w:r>
    </w:p>
    <w:p w14:paraId="65DFE63E" w14:textId="5DF85E9B" w:rsidR="00464313" w:rsidRDefault="00464313" w:rsidP="00A602B1">
      <w:r>
        <w:t>Provisoren kwamen op</w:t>
      </w:r>
      <w:r w:rsidR="009917AF">
        <w:t xml:space="preserve"> zaterdag 15 november </w:t>
      </w:r>
      <w:r w:rsidR="00541329">
        <w:t xml:space="preserve">2025 </w:t>
      </w:r>
      <w:r w:rsidR="009917AF">
        <w:t xml:space="preserve">bijeen voor de jaarlijkse vergadering. Helaas hebben we wederom moeten constateren </w:t>
      </w:r>
      <w:r w:rsidR="003F6B16">
        <w:t>dat de financiële positie van de Stichting niet goed is.</w:t>
      </w:r>
    </w:p>
    <w:p w14:paraId="6F9FD869" w14:textId="38FBB5A4" w:rsidR="003F6B16" w:rsidRDefault="003F6B16" w:rsidP="00A602B1">
      <w:r>
        <w:t xml:space="preserve">We worden geconfronteerd </w:t>
      </w:r>
      <w:r w:rsidR="00915364">
        <w:t xml:space="preserve">met oude verworvenheden waardoor opbrengsten en kosten nog meer uit de pas lopen. Tevens hebben herstelwerkzaamheden weer een </w:t>
      </w:r>
      <w:r w:rsidR="00413410">
        <w:t>gat geslagen in onze vrije middelen.</w:t>
      </w:r>
    </w:p>
    <w:p w14:paraId="18E6DCFB" w14:textId="6DB83E7E" w:rsidR="00541329" w:rsidRDefault="00541329" w:rsidP="00A602B1">
      <w:pPr>
        <w:rPr>
          <w:b/>
          <w:bCs/>
          <w:sz w:val="28"/>
          <w:szCs w:val="28"/>
        </w:rPr>
      </w:pPr>
      <w:r w:rsidRPr="00541329">
        <w:rPr>
          <w:b/>
          <w:bCs/>
          <w:sz w:val="28"/>
          <w:szCs w:val="28"/>
        </w:rPr>
        <w:t>2025 inkomsten en uitgaven</w:t>
      </w:r>
      <w:r w:rsidR="006B6F4A">
        <w:rPr>
          <w:b/>
          <w:bCs/>
          <w:sz w:val="28"/>
          <w:szCs w:val="28"/>
        </w:rPr>
        <w:t>:</w:t>
      </w:r>
    </w:p>
    <w:p w14:paraId="1A600467" w14:textId="77777777" w:rsidR="006B6F4A" w:rsidRDefault="006B6F4A" w:rsidP="00A602B1">
      <w:pPr>
        <w:rPr>
          <w:b/>
          <w:bCs/>
          <w:sz w:val="28"/>
          <w:szCs w:val="28"/>
        </w:rPr>
      </w:pPr>
    </w:p>
    <w:p w14:paraId="3EA98AC6" w14:textId="3A7F7058" w:rsidR="00541329" w:rsidRDefault="00541329" w:rsidP="00A602B1">
      <w:pPr>
        <w:rPr>
          <w:b/>
          <w:bCs/>
          <w:sz w:val="24"/>
          <w:szCs w:val="24"/>
        </w:rPr>
      </w:pPr>
      <w:r w:rsidRPr="00416185">
        <w:rPr>
          <w:b/>
          <w:bCs/>
          <w:sz w:val="24"/>
          <w:szCs w:val="24"/>
        </w:rPr>
        <w:t xml:space="preserve">De </w:t>
      </w:r>
      <w:r w:rsidR="006B6F4A" w:rsidRPr="00416185">
        <w:rPr>
          <w:b/>
          <w:bCs/>
          <w:sz w:val="24"/>
          <w:szCs w:val="24"/>
        </w:rPr>
        <w:t>inkomsten over 2025 waren de volgende</w:t>
      </w:r>
    </w:p>
    <w:p w14:paraId="77A1C20B" w14:textId="55446F45" w:rsidR="00395BDC" w:rsidRPr="00416185" w:rsidRDefault="00395BDC" w:rsidP="00A602B1">
      <w:pPr>
        <w:rPr>
          <w:b/>
          <w:bCs/>
          <w:sz w:val="24"/>
          <w:szCs w:val="24"/>
        </w:rPr>
      </w:pPr>
      <w:r w:rsidRPr="00395BDC">
        <w:rPr>
          <w:b/>
          <w:bCs/>
          <w:noProof/>
          <w:sz w:val="24"/>
          <w:szCs w:val="24"/>
        </w:rPr>
        <w:drawing>
          <wp:inline distT="0" distB="0" distL="0" distR="0" wp14:anchorId="3D6D8135" wp14:editId="09EC0A28">
            <wp:extent cx="5760720" cy="2538730"/>
            <wp:effectExtent l="0" t="0" r="0" b="0"/>
            <wp:docPr id="10022735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3588" name=""/>
                    <pic:cNvPicPr/>
                  </pic:nvPicPr>
                  <pic:blipFill>
                    <a:blip r:embed="rId7"/>
                    <a:stretch>
                      <a:fillRect/>
                    </a:stretch>
                  </pic:blipFill>
                  <pic:spPr>
                    <a:xfrm>
                      <a:off x="0" y="0"/>
                      <a:ext cx="5760720" cy="2538730"/>
                    </a:xfrm>
                    <a:prstGeom prst="rect">
                      <a:avLst/>
                    </a:prstGeom>
                  </pic:spPr>
                </pic:pic>
              </a:graphicData>
            </a:graphic>
          </wp:inline>
        </w:drawing>
      </w:r>
    </w:p>
    <w:p w14:paraId="7823EFA5" w14:textId="77777777" w:rsidR="006B6F4A" w:rsidRPr="00416185" w:rsidRDefault="006B6F4A" w:rsidP="00A602B1">
      <w:pPr>
        <w:rPr>
          <w:b/>
          <w:bCs/>
          <w:sz w:val="24"/>
          <w:szCs w:val="24"/>
        </w:rPr>
      </w:pPr>
    </w:p>
    <w:p w14:paraId="1211B820" w14:textId="33AC229A" w:rsidR="006B6F4A" w:rsidRDefault="006B6F4A" w:rsidP="006B6F4A">
      <w:pPr>
        <w:rPr>
          <w:b/>
          <w:bCs/>
          <w:sz w:val="24"/>
          <w:szCs w:val="24"/>
        </w:rPr>
      </w:pPr>
      <w:r w:rsidRPr="00416185">
        <w:rPr>
          <w:b/>
          <w:bCs/>
          <w:sz w:val="24"/>
          <w:szCs w:val="24"/>
        </w:rPr>
        <w:t>De uitgaven over 2025 waren de volgende</w:t>
      </w:r>
    </w:p>
    <w:p w14:paraId="5B93EA57" w14:textId="4D5EE0F0" w:rsidR="00975F3F" w:rsidRDefault="00B847EB" w:rsidP="006B6F4A">
      <w:pPr>
        <w:rPr>
          <w:b/>
          <w:bCs/>
          <w:sz w:val="24"/>
          <w:szCs w:val="24"/>
        </w:rPr>
      </w:pPr>
      <w:r w:rsidRPr="00B847EB">
        <w:rPr>
          <w:b/>
          <w:bCs/>
          <w:noProof/>
          <w:sz w:val="24"/>
          <w:szCs w:val="24"/>
        </w:rPr>
        <w:lastRenderedPageBreak/>
        <w:drawing>
          <wp:inline distT="0" distB="0" distL="0" distR="0" wp14:anchorId="4BE83AD7" wp14:editId="4D68C4BB">
            <wp:extent cx="5760720" cy="3635375"/>
            <wp:effectExtent l="0" t="0" r="0" b="3175"/>
            <wp:docPr id="924009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09230" name=""/>
                    <pic:cNvPicPr/>
                  </pic:nvPicPr>
                  <pic:blipFill>
                    <a:blip r:embed="rId8"/>
                    <a:stretch>
                      <a:fillRect/>
                    </a:stretch>
                  </pic:blipFill>
                  <pic:spPr>
                    <a:xfrm>
                      <a:off x="0" y="0"/>
                      <a:ext cx="5760720" cy="3635375"/>
                    </a:xfrm>
                    <a:prstGeom prst="rect">
                      <a:avLst/>
                    </a:prstGeom>
                  </pic:spPr>
                </pic:pic>
              </a:graphicData>
            </a:graphic>
          </wp:inline>
        </w:drawing>
      </w:r>
    </w:p>
    <w:p w14:paraId="65DB5715" w14:textId="4E4EB15B" w:rsidR="00B847EB" w:rsidRDefault="00E30D74" w:rsidP="006B6F4A">
      <w:pPr>
        <w:rPr>
          <w:b/>
          <w:bCs/>
          <w:sz w:val="24"/>
          <w:szCs w:val="24"/>
        </w:rPr>
      </w:pPr>
      <w:r w:rsidRPr="00E30D74">
        <w:rPr>
          <w:b/>
          <w:bCs/>
          <w:noProof/>
          <w:sz w:val="24"/>
          <w:szCs w:val="24"/>
        </w:rPr>
        <w:drawing>
          <wp:inline distT="0" distB="0" distL="0" distR="0" wp14:anchorId="3BF6CFE4" wp14:editId="5D62AF73">
            <wp:extent cx="5760720" cy="666115"/>
            <wp:effectExtent l="0" t="0" r="0" b="635"/>
            <wp:docPr id="15445193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19381" name=""/>
                    <pic:cNvPicPr/>
                  </pic:nvPicPr>
                  <pic:blipFill>
                    <a:blip r:embed="rId9"/>
                    <a:stretch>
                      <a:fillRect/>
                    </a:stretch>
                  </pic:blipFill>
                  <pic:spPr>
                    <a:xfrm>
                      <a:off x="0" y="0"/>
                      <a:ext cx="5760720" cy="666115"/>
                    </a:xfrm>
                    <a:prstGeom prst="rect">
                      <a:avLst/>
                    </a:prstGeom>
                  </pic:spPr>
                </pic:pic>
              </a:graphicData>
            </a:graphic>
          </wp:inline>
        </w:drawing>
      </w:r>
    </w:p>
    <w:p w14:paraId="46F6F2C2" w14:textId="77777777" w:rsidR="00416185" w:rsidRDefault="00416185" w:rsidP="006B6F4A">
      <w:pPr>
        <w:rPr>
          <w:b/>
          <w:bCs/>
          <w:sz w:val="24"/>
          <w:szCs w:val="24"/>
        </w:rPr>
      </w:pPr>
    </w:p>
    <w:p w14:paraId="4831BB60" w14:textId="6D13CF37" w:rsidR="00416185" w:rsidRDefault="00416185" w:rsidP="006B6F4A">
      <w:pPr>
        <w:rPr>
          <w:b/>
          <w:bCs/>
          <w:sz w:val="24"/>
          <w:szCs w:val="24"/>
        </w:rPr>
      </w:pPr>
      <w:r>
        <w:rPr>
          <w:b/>
          <w:bCs/>
          <w:sz w:val="24"/>
          <w:szCs w:val="24"/>
        </w:rPr>
        <w:t xml:space="preserve">Het saldo op de rekening bij Van Lanschot op 1 </w:t>
      </w:r>
      <w:r w:rsidR="00F91F2B">
        <w:rPr>
          <w:b/>
          <w:bCs/>
          <w:sz w:val="24"/>
          <w:szCs w:val="24"/>
        </w:rPr>
        <w:t>januari</w:t>
      </w:r>
      <w:r>
        <w:rPr>
          <w:b/>
          <w:bCs/>
          <w:sz w:val="24"/>
          <w:szCs w:val="24"/>
        </w:rPr>
        <w:t xml:space="preserve"> 202</w:t>
      </w:r>
      <w:r w:rsidR="00F91F2B">
        <w:rPr>
          <w:b/>
          <w:bCs/>
          <w:sz w:val="24"/>
          <w:szCs w:val="24"/>
        </w:rPr>
        <w:t>5</w:t>
      </w:r>
      <w:r>
        <w:rPr>
          <w:b/>
          <w:bCs/>
          <w:sz w:val="24"/>
          <w:szCs w:val="24"/>
        </w:rPr>
        <w:t xml:space="preserve">  bedroeg Euro</w:t>
      </w:r>
      <w:r w:rsidR="00F91F2B">
        <w:rPr>
          <w:b/>
          <w:bCs/>
          <w:sz w:val="24"/>
          <w:szCs w:val="24"/>
        </w:rPr>
        <w:t xml:space="preserve"> 40.031,02</w:t>
      </w:r>
    </w:p>
    <w:p w14:paraId="07A7B0D7" w14:textId="02E2F198" w:rsidR="00CF7580" w:rsidRDefault="00CF7580" w:rsidP="006B6F4A">
      <w:pPr>
        <w:rPr>
          <w:b/>
          <w:bCs/>
          <w:sz w:val="24"/>
          <w:szCs w:val="24"/>
        </w:rPr>
      </w:pPr>
      <w:r>
        <w:rPr>
          <w:b/>
          <w:bCs/>
          <w:sz w:val="24"/>
          <w:szCs w:val="24"/>
        </w:rPr>
        <w:t xml:space="preserve">Het saldo op </w:t>
      </w:r>
      <w:r w:rsidR="00F91F2B">
        <w:rPr>
          <w:b/>
          <w:bCs/>
          <w:sz w:val="24"/>
          <w:szCs w:val="24"/>
        </w:rPr>
        <w:t>31 december 2025</w:t>
      </w:r>
      <w:r w:rsidR="00DB62B5">
        <w:rPr>
          <w:b/>
          <w:bCs/>
          <w:sz w:val="24"/>
          <w:szCs w:val="24"/>
        </w:rPr>
        <w:t xml:space="preserve"> bedroeg</w:t>
      </w:r>
      <w:r w:rsidR="00F91F2B">
        <w:rPr>
          <w:b/>
          <w:bCs/>
          <w:sz w:val="24"/>
          <w:szCs w:val="24"/>
        </w:rPr>
        <w:t xml:space="preserve"> 45</w:t>
      </w:r>
      <w:r w:rsidR="00892462">
        <w:rPr>
          <w:b/>
          <w:bCs/>
          <w:sz w:val="24"/>
          <w:szCs w:val="24"/>
        </w:rPr>
        <w:t>.287,68</w:t>
      </w:r>
      <w:r w:rsidR="00DB62B5">
        <w:rPr>
          <w:b/>
          <w:bCs/>
          <w:sz w:val="24"/>
          <w:szCs w:val="24"/>
        </w:rPr>
        <w:t>.</w:t>
      </w:r>
    </w:p>
    <w:p w14:paraId="515ACF2E" w14:textId="4C20DD71" w:rsidR="00DB62B5" w:rsidRDefault="00DB62B5" w:rsidP="006B6F4A">
      <w:pPr>
        <w:rPr>
          <w:b/>
          <w:bCs/>
          <w:sz w:val="24"/>
          <w:szCs w:val="24"/>
        </w:rPr>
      </w:pPr>
      <w:r>
        <w:rPr>
          <w:b/>
          <w:bCs/>
          <w:sz w:val="24"/>
          <w:szCs w:val="24"/>
        </w:rPr>
        <w:t xml:space="preserve">Zodoende werd in 2025 een </w:t>
      </w:r>
      <w:r w:rsidR="00892462">
        <w:rPr>
          <w:b/>
          <w:bCs/>
          <w:sz w:val="24"/>
          <w:szCs w:val="24"/>
        </w:rPr>
        <w:t>positief</w:t>
      </w:r>
      <w:r>
        <w:rPr>
          <w:b/>
          <w:bCs/>
          <w:sz w:val="24"/>
          <w:szCs w:val="24"/>
        </w:rPr>
        <w:t xml:space="preserve"> resultaat van </w:t>
      </w:r>
      <w:r w:rsidR="009A3285">
        <w:rPr>
          <w:b/>
          <w:bCs/>
          <w:sz w:val="24"/>
          <w:szCs w:val="24"/>
        </w:rPr>
        <w:t xml:space="preserve">5.255,66 </w:t>
      </w:r>
      <w:r>
        <w:rPr>
          <w:b/>
          <w:bCs/>
          <w:sz w:val="24"/>
          <w:szCs w:val="24"/>
        </w:rPr>
        <w:t>Euro behaal</w:t>
      </w:r>
      <w:r w:rsidR="00F952B3">
        <w:rPr>
          <w:b/>
          <w:bCs/>
          <w:sz w:val="24"/>
          <w:szCs w:val="24"/>
        </w:rPr>
        <w:t>d.</w:t>
      </w:r>
    </w:p>
    <w:p w14:paraId="46279AC1" w14:textId="5C731F80" w:rsidR="00F952B3" w:rsidRDefault="00F952B3" w:rsidP="006B6F4A">
      <w:pPr>
        <w:rPr>
          <w:b/>
          <w:bCs/>
          <w:sz w:val="24"/>
          <w:szCs w:val="24"/>
        </w:rPr>
      </w:pPr>
      <w:r>
        <w:rPr>
          <w:b/>
          <w:bCs/>
          <w:sz w:val="24"/>
          <w:szCs w:val="24"/>
        </w:rPr>
        <w:t>De Stichting verwacht in 2026 geen substantiële uitgaven te doen</w:t>
      </w:r>
      <w:r w:rsidR="006B0887">
        <w:rPr>
          <w:b/>
          <w:bCs/>
          <w:sz w:val="24"/>
          <w:szCs w:val="24"/>
        </w:rPr>
        <w:t>.</w:t>
      </w:r>
    </w:p>
    <w:p w14:paraId="6D07D0B4" w14:textId="77777777" w:rsidR="006B0887" w:rsidRDefault="006B0887" w:rsidP="006B6F4A">
      <w:pPr>
        <w:rPr>
          <w:b/>
          <w:bCs/>
          <w:sz w:val="24"/>
          <w:szCs w:val="24"/>
        </w:rPr>
      </w:pPr>
    </w:p>
    <w:p w14:paraId="778ADB60" w14:textId="349440B0" w:rsidR="006B0887" w:rsidRDefault="006B0887" w:rsidP="006B6F4A">
      <w:pPr>
        <w:rPr>
          <w:b/>
          <w:bCs/>
          <w:sz w:val="24"/>
          <w:szCs w:val="24"/>
        </w:rPr>
      </w:pPr>
      <w:r>
        <w:rPr>
          <w:b/>
          <w:bCs/>
          <w:sz w:val="24"/>
          <w:szCs w:val="24"/>
        </w:rPr>
        <w:t xml:space="preserve">Getekend op </w:t>
      </w:r>
      <w:r w:rsidR="009A3285">
        <w:rPr>
          <w:b/>
          <w:bCs/>
          <w:sz w:val="24"/>
          <w:szCs w:val="24"/>
        </w:rPr>
        <w:t xml:space="preserve">5 mei </w:t>
      </w:r>
      <w:r>
        <w:rPr>
          <w:b/>
          <w:bCs/>
          <w:sz w:val="24"/>
          <w:szCs w:val="24"/>
        </w:rPr>
        <w:t>202</w:t>
      </w:r>
      <w:r w:rsidR="009A3285">
        <w:rPr>
          <w:b/>
          <w:bCs/>
          <w:sz w:val="24"/>
          <w:szCs w:val="24"/>
        </w:rPr>
        <w:t>6</w:t>
      </w:r>
      <w:r>
        <w:rPr>
          <w:b/>
          <w:bCs/>
          <w:sz w:val="24"/>
          <w:szCs w:val="24"/>
        </w:rPr>
        <w:t xml:space="preserve"> door:</w:t>
      </w:r>
    </w:p>
    <w:p w14:paraId="106E334E" w14:textId="61F26A35" w:rsidR="006B0887" w:rsidRDefault="006B0887" w:rsidP="006B6F4A">
      <w:pPr>
        <w:rPr>
          <w:b/>
          <w:bCs/>
          <w:sz w:val="24"/>
          <w:szCs w:val="24"/>
        </w:rPr>
      </w:pPr>
    </w:p>
    <w:p w14:paraId="01BE30B3" w14:textId="77777777" w:rsidR="006B0887" w:rsidRDefault="006B0887" w:rsidP="006B6F4A">
      <w:pPr>
        <w:rPr>
          <w:b/>
          <w:bCs/>
          <w:sz w:val="24"/>
          <w:szCs w:val="24"/>
        </w:rPr>
      </w:pPr>
    </w:p>
    <w:p w14:paraId="6D714C8E" w14:textId="63FDBAD3" w:rsidR="006B0887" w:rsidRDefault="006B0887" w:rsidP="006B6F4A">
      <w:pPr>
        <w:rPr>
          <w:b/>
          <w:bCs/>
          <w:sz w:val="24"/>
          <w:szCs w:val="24"/>
        </w:rPr>
      </w:pPr>
      <w:r>
        <w:rPr>
          <w:b/>
          <w:bCs/>
          <w:sz w:val="24"/>
          <w:szCs w:val="24"/>
        </w:rPr>
        <w:t>R.J. van de Mortel</w:t>
      </w:r>
      <w:r>
        <w:rPr>
          <w:b/>
          <w:bCs/>
          <w:sz w:val="24"/>
          <w:szCs w:val="24"/>
        </w:rPr>
        <w:tab/>
      </w:r>
      <w:r>
        <w:rPr>
          <w:b/>
          <w:bCs/>
          <w:sz w:val="24"/>
          <w:szCs w:val="24"/>
        </w:rPr>
        <w:tab/>
      </w:r>
      <w:r w:rsidR="00C434FF">
        <w:rPr>
          <w:b/>
          <w:bCs/>
          <w:sz w:val="24"/>
          <w:szCs w:val="24"/>
        </w:rPr>
        <w:tab/>
      </w:r>
      <w:r w:rsidR="00C434FF">
        <w:rPr>
          <w:b/>
          <w:bCs/>
          <w:sz w:val="24"/>
          <w:szCs w:val="24"/>
        </w:rPr>
        <w:tab/>
      </w:r>
      <w:r w:rsidR="00C434FF">
        <w:rPr>
          <w:b/>
          <w:bCs/>
          <w:sz w:val="24"/>
          <w:szCs w:val="24"/>
        </w:rPr>
        <w:tab/>
      </w:r>
      <w:r w:rsidR="00C434FF">
        <w:rPr>
          <w:b/>
          <w:bCs/>
          <w:sz w:val="24"/>
          <w:szCs w:val="24"/>
        </w:rPr>
        <w:tab/>
      </w:r>
      <w:r>
        <w:rPr>
          <w:b/>
          <w:bCs/>
          <w:sz w:val="24"/>
          <w:szCs w:val="24"/>
        </w:rPr>
        <w:t>H.Y.M. van Meeuwen</w:t>
      </w:r>
    </w:p>
    <w:p w14:paraId="424AE9B9" w14:textId="77777777" w:rsidR="009A3285" w:rsidRDefault="009A3285" w:rsidP="006B6F4A">
      <w:pPr>
        <w:rPr>
          <w:b/>
          <w:bCs/>
          <w:sz w:val="24"/>
          <w:szCs w:val="24"/>
        </w:rPr>
      </w:pPr>
    </w:p>
    <w:p w14:paraId="2D7FF80C" w14:textId="77777777" w:rsidR="009A3285" w:rsidRDefault="009A3285" w:rsidP="006B6F4A">
      <w:pPr>
        <w:rPr>
          <w:b/>
          <w:bCs/>
          <w:sz w:val="24"/>
          <w:szCs w:val="24"/>
        </w:rPr>
      </w:pPr>
    </w:p>
    <w:p w14:paraId="0C969503" w14:textId="225FE5E6" w:rsidR="00035414" w:rsidRPr="003A41F1" w:rsidRDefault="00C434FF">
      <w:pPr>
        <w:rPr>
          <w:b/>
          <w:bCs/>
          <w:sz w:val="24"/>
          <w:szCs w:val="24"/>
        </w:rPr>
      </w:pPr>
      <w:r>
        <w:rPr>
          <w:b/>
          <w:bCs/>
          <w:sz w:val="24"/>
          <w:szCs w:val="24"/>
        </w:rPr>
        <w:t>O.E.E.M. van de Mortel</w:t>
      </w:r>
      <w:r>
        <w:rPr>
          <w:b/>
          <w:bCs/>
          <w:sz w:val="24"/>
          <w:szCs w:val="24"/>
        </w:rPr>
        <w:tab/>
      </w:r>
      <w:r>
        <w:rPr>
          <w:b/>
          <w:bCs/>
          <w:sz w:val="24"/>
          <w:szCs w:val="24"/>
        </w:rPr>
        <w:tab/>
      </w:r>
      <w:r>
        <w:rPr>
          <w:b/>
          <w:bCs/>
          <w:sz w:val="24"/>
          <w:szCs w:val="24"/>
        </w:rPr>
        <w:tab/>
      </w:r>
      <w:r>
        <w:rPr>
          <w:b/>
          <w:bCs/>
          <w:sz w:val="24"/>
          <w:szCs w:val="24"/>
        </w:rPr>
        <w:tab/>
      </w:r>
      <w:r>
        <w:rPr>
          <w:b/>
          <w:bCs/>
          <w:sz w:val="24"/>
          <w:szCs w:val="24"/>
        </w:rPr>
        <w:tab/>
        <w:t>H.G.M. van Meeuwen</w:t>
      </w:r>
    </w:p>
    <w:sectPr w:rsidR="00035414" w:rsidRPr="003A41F1" w:rsidSect="00BF70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3F1D"/>
    <w:multiLevelType w:val="multilevel"/>
    <w:tmpl w:val="0DF03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02C06"/>
    <w:multiLevelType w:val="multilevel"/>
    <w:tmpl w:val="38E65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6940627">
    <w:abstractNumId w:val="1"/>
  </w:num>
  <w:num w:numId="2" w16cid:durableId="16032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EA"/>
    <w:rsid w:val="00035414"/>
    <w:rsid w:val="00096018"/>
    <w:rsid w:val="000F59BF"/>
    <w:rsid w:val="001912FC"/>
    <w:rsid w:val="001A3EFB"/>
    <w:rsid w:val="001D2D21"/>
    <w:rsid w:val="001F24CC"/>
    <w:rsid w:val="0022393F"/>
    <w:rsid w:val="00395BDC"/>
    <w:rsid w:val="003A41F1"/>
    <w:rsid w:val="003F6B16"/>
    <w:rsid w:val="00413410"/>
    <w:rsid w:val="00416185"/>
    <w:rsid w:val="00464313"/>
    <w:rsid w:val="004D55E4"/>
    <w:rsid w:val="00541329"/>
    <w:rsid w:val="005B157B"/>
    <w:rsid w:val="006B0887"/>
    <w:rsid w:val="006B6F4A"/>
    <w:rsid w:val="00892462"/>
    <w:rsid w:val="00915364"/>
    <w:rsid w:val="00975F3F"/>
    <w:rsid w:val="009917AF"/>
    <w:rsid w:val="009A3285"/>
    <w:rsid w:val="00A602B1"/>
    <w:rsid w:val="00AB72C6"/>
    <w:rsid w:val="00B847EB"/>
    <w:rsid w:val="00B910BF"/>
    <w:rsid w:val="00BA16C1"/>
    <w:rsid w:val="00BF70EA"/>
    <w:rsid w:val="00C434FF"/>
    <w:rsid w:val="00C61D7B"/>
    <w:rsid w:val="00C656A1"/>
    <w:rsid w:val="00CF7580"/>
    <w:rsid w:val="00DB62B5"/>
    <w:rsid w:val="00E30D74"/>
    <w:rsid w:val="00E77C58"/>
    <w:rsid w:val="00EB6AFD"/>
    <w:rsid w:val="00EC66BA"/>
    <w:rsid w:val="00F91F2B"/>
    <w:rsid w:val="00F952B3"/>
    <w:rsid w:val="00FB5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22FF"/>
  <w15:chartTrackingRefBased/>
  <w15:docId w15:val="{772DA3E0-0841-4DAB-8615-BB2EEBB8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70EA"/>
    <w:rPr>
      <w:kern w:val="0"/>
      <w14:ligatures w14:val="none"/>
    </w:rPr>
  </w:style>
  <w:style w:type="paragraph" w:styleId="Kop1">
    <w:name w:val="heading 1"/>
    <w:basedOn w:val="Standaard"/>
    <w:next w:val="Standaard"/>
    <w:link w:val="Kop1Char"/>
    <w:uiPriority w:val="9"/>
    <w:qFormat/>
    <w:rsid w:val="00BF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0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0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0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0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0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0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0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0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70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0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0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0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0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0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0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0EA"/>
    <w:rPr>
      <w:rFonts w:eastAsiaTheme="majorEastAsia" w:cstheme="majorBidi"/>
      <w:color w:val="272727" w:themeColor="text1" w:themeTint="D8"/>
    </w:rPr>
  </w:style>
  <w:style w:type="paragraph" w:styleId="Titel">
    <w:name w:val="Title"/>
    <w:basedOn w:val="Standaard"/>
    <w:next w:val="Standaard"/>
    <w:link w:val="TitelChar"/>
    <w:uiPriority w:val="10"/>
    <w:qFormat/>
    <w:rsid w:val="00BF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0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0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0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0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0EA"/>
    <w:rPr>
      <w:i/>
      <w:iCs/>
      <w:color w:val="404040" w:themeColor="text1" w:themeTint="BF"/>
    </w:rPr>
  </w:style>
  <w:style w:type="paragraph" w:styleId="Lijstalinea">
    <w:name w:val="List Paragraph"/>
    <w:basedOn w:val="Standaard"/>
    <w:uiPriority w:val="34"/>
    <w:qFormat/>
    <w:rsid w:val="00BF70EA"/>
    <w:pPr>
      <w:ind w:left="720"/>
      <w:contextualSpacing/>
    </w:pPr>
  </w:style>
  <w:style w:type="character" w:styleId="Intensievebenadrukking">
    <w:name w:val="Intense Emphasis"/>
    <w:basedOn w:val="Standaardalinea-lettertype"/>
    <w:uiPriority w:val="21"/>
    <w:qFormat/>
    <w:rsid w:val="00BF70EA"/>
    <w:rPr>
      <w:i/>
      <w:iCs/>
      <w:color w:val="0F4761" w:themeColor="accent1" w:themeShade="BF"/>
    </w:rPr>
  </w:style>
  <w:style w:type="paragraph" w:styleId="Duidelijkcitaat">
    <w:name w:val="Intense Quote"/>
    <w:basedOn w:val="Standaard"/>
    <w:next w:val="Standaard"/>
    <w:link w:val="DuidelijkcitaatChar"/>
    <w:uiPriority w:val="30"/>
    <w:qFormat/>
    <w:rsid w:val="00BF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0EA"/>
    <w:rPr>
      <w:i/>
      <w:iCs/>
      <w:color w:val="0F4761" w:themeColor="accent1" w:themeShade="BF"/>
    </w:rPr>
  </w:style>
  <w:style w:type="character" w:styleId="Intensieveverwijzing">
    <w:name w:val="Intense Reference"/>
    <w:basedOn w:val="Standaardalinea-lettertype"/>
    <w:uiPriority w:val="32"/>
    <w:qFormat/>
    <w:rsid w:val="00BF7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B719B.DCB439F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492</Words>
  <Characters>2706</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van Meeuwen -JOOF.NL-</dc:creator>
  <cp:keywords/>
  <dc:description/>
  <cp:lastModifiedBy>Hein van Meeuwen -JOOF.NL-</cp:lastModifiedBy>
  <cp:revision>39</cp:revision>
  <dcterms:created xsi:type="dcterms:W3CDTF">2026-04-29T08:13:00Z</dcterms:created>
  <dcterms:modified xsi:type="dcterms:W3CDTF">2026-04-29T09:04:00Z</dcterms:modified>
</cp:coreProperties>
</file>